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3D12" w:rsidP="003926CC">
      <w:pPr>
        <w:spacing w:after="480"/>
        <w:jc w:val="center"/>
        <w:rPr>
          <w:b/>
          <w:bCs/>
          <w:sz w:val="40"/>
          <w:szCs w:val="40"/>
        </w:rPr>
      </w:pPr>
      <w:bookmarkStart w:id="0" w:name="_GoBack"/>
      <w:bookmarkEnd w:id="0"/>
      <w:r w:rsidRPr="00393D12">
        <w:rPr>
          <w:b/>
          <w:sz w:val="40"/>
          <w:szCs w:val="40"/>
        </w:rPr>
        <w:t>USNESENÍ</w:t>
      </w:r>
      <w:r w:rsidR="00F11093">
        <w:rPr>
          <w:b/>
          <w:bCs/>
          <w:sz w:val="40"/>
          <w:szCs w:val="40"/>
        </w:rPr>
        <w:br/>
      </w:r>
      <w:r w:rsidR="00F11093" w:rsidRPr="00F11093">
        <w:rPr>
          <w:bCs/>
          <w:sz w:val="20"/>
        </w:rPr>
        <w:t>(anonymizovaný opis)</w:t>
      </w:r>
    </w:p>
    <w:p w:rsidR="004A5914" w:rsidRPr="009C70FD" w:rsidRDefault="009C70FD" w:rsidP="009C70FD">
      <w:r w:rsidRPr="009C70FD">
        <w:t xml:space="preserve">Krajský soud v Plzni rozhodl ve veřejném zasedání konaném dne 19.11.2019 v trestní věci posuzovaného </w:t>
      </w:r>
      <w:r>
        <w:t>[</w:t>
      </w:r>
      <w:r w:rsidRPr="009C70FD">
        <w:rPr>
          <w:shd w:val="clear" w:color="auto" w:fill="CCCCCC"/>
        </w:rPr>
        <w:t>údaje o účastníkovi</w:t>
      </w:r>
      <w:r w:rsidRPr="009C70FD">
        <w:t>]</w:t>
      </w:r>
    </w:p>
    <w:p w:rsidR="00F11093" w:rsidRDefault="00F11093" w:rsidP="008A0B5D">
      <w:pPr>
        <w:pStyle w:val="Nadpisstirozsudku"/>
      </w:pPr>
      <w:r w:rsidRPr="00F11093">
        <w:t>takto</w:t>
      </w:r>
      <w:r>
        <w:t>:</w:t>
      </w:r>
    </w:p>
    <w:p w:rsidR="008A0B5D" w:rsidRPr="009C70FD" w:rsidRDefault="009C70FD" w:rsidP="009C70FD">
      <w:pPr>
        <w:jc w:val="left"/>
      </w:pPr>
      <w:r w:rsidRPr="009C70FD">
        <w:t xml:space="preserve">Podle § 100 odst. 1 trestního zákoníku se posuzovanému </w:t>
      </w:r>
      <w:r>
        <w:t>[</w:t>
      </w:r>
      <w:r w:rsidRPr="009C70FD">
        <w:rPr>
          <w:shd w:val="clear" w:color="auto" w:fill="CCCCCC"/>
        </w:rPr>
        <w:t>jméno</w:t>
      </w:r>
      <w:r w:rsidRPr="009C70FD">
        <w:t xml:space="preserve">] </w:t>
      </w:r>
      <w:r>
        <w:t>[</w:t>
      </w:r>
      <w:r w:rsidR="00A4390D">
        <w:rPr>
          <w:shd w:val="clear" w:color="auto" w:fill="CCCCCC"/>
        </w:rPr>
        <w:t>příjmení</w:t>
      </w:r>
      <w:r w:rsidRPr="009C70FD">
        <w:t xml:space="preserve">], </w:t>
      </w:r>
      <w:r>
        <w:t>[</w:t>
      </w:r>
      <w:r w:rsidRPr="009C70FD">
        <w:rPr>
          <w:shd w:val="clear" w:color="auto" w:fill="CCCCCC"/>
        </w:rPr>
        <w:t>datum narození</w:t>
      </w:r>
      <w:r w:rsidRPr="009C70FD">
        <w:t>], ukládá zabezpečovací detence.</w:t>
      </w:r>
    </w:p>
    <w:p w:rsidR="008A0B5D" w:rsidRDefault="008A0B5D" w:rsidP="008A0B5D">
      <w:pPr>
        <w:pStyle w:val="Nadpisstirozsudku"/>
      </w:pPr>
      <w:r>
        <w:t>Odůvodnění:</w:t>
      </w:r>
    </w:p>
    <w:p w:rsidR="009C70FD" w:rsidRDefault="009C70FD" w:rsidP="009C70FD">
      <w:r w:rsidRPr="009C70FD">
        <w:t xml:space="preserve">1. Státní zástupce Krajského státního zastupitelství v Plzni podal dne 17. 9. 2019 návrh na uložení zabezpečovací detence posuzovanému </w:t>
      </w:r>
      <w:r>
        <w:t>[</w:t>
      </w:r>
      <w:r w:rsidRPr="009C70FD">
        <w:rPr>
          <w:shd w:val="clear" w:color="auto" w:fill="CCCCCC"/>
        </w:rPr>
        <w:t>jméno</w:t>
      </w:r>
      <w:r w:rsidRPr="009C70FD">
        <w:t xml:space="preserve">] </w:t>
      </w:r>
      <w:r>
        <w:t>[</w:t>
      </w:r>
      <w:r w:rsidR="00A4390D">
        <w:rPr>
          <w:shd w:val="clear" w:color="auto" w:fill="CCCCCC"/>
        </w:rPr>
        <w:t>příjmení</w:t>
      </w:r>
      <w:r w:rsidRPr="009C70FD">
        <w:t xml:space="preserve">]. Návrh odůvodnil tím, že usnesením policejního orgánu Policie České republiky, Krajské ředitelství Plzeňského kraje, odbor obecné kriminality ze dne 20. 8. 2019, č. j. KRPP-19699-103/TČ-2019-030070 byla podle § 159a odst. 1 trestního řádu odložena trestní věc pro podezření ze spáchání zločinu vraždy podle § 140 odst. 1, 3 písmeno a) trestního zákoníku, jehož se měl dopustil právě posuzovaný tím, že dne 6. 2. 2019 v přesně nezjištěnou dobu od 20.00 do 21.26 hodin v obci </w:t>
      </w:r>
      <w:r>
        <w:t>[</w:t>
      </w:r>
      <w:r w:rsidRPr="009C70FD">
        <w:rPr>
          <w:shd w:val="clear" w:color="auto" w:fill="CCCCCC"/>
        </w:rPr>
        <w:t>obec</w:t>
      </w:r>
      <w:r w:rsidRPr="009C70FD">
        <w:t xml:space="preserve">], v pečovatelském domě </w:t>
      </w:r>
      <w:r>
        <w:t>[</w:t>
      </w:r>
      <w:r w:rsidRPr="009C70FD">
        <w:rPr>
          <w:shd w:val="clear" w:color="auto" w:fill="CCCCCC"/>
        </w:rPr>
        <w:t>adresa</w:t>
      </w:r>
      <w:r w:rsidRPr="009C70FD">
        <w:t xml:space="preserve">], nejprve v pokoji č. 403 zaútočil na </w:t>
      </w:r>
      <w:r>
        <w:t>[</w:t>
      </w:r>
      <w:r w:rsidRPr="009C70FD">
        <w:rPr>
          <w:shd w:val="clear" w:color="auto" w:fill="CCCCCC"/>
        </w:rPr>
        <w:t>jméno</w:t>
      </w:r>
      <w:r w:rsidRPr="009C70FD">
        <w:t xml:space="preserve">] </w:t>
      </w:r>
      <w:r>
        <w:t>[</w:t>
      </w:r>
      <w:r w:rsidRPr="009C70FD">
        <w:rPr>
          <w:shd w:val="clear" w:color="auto" w:fill="CCCCCC"/>
        </w:rPr>
        <w:t>příjmení</w:t>
      </w:r>
      <w:r w:rsidRPr="009C70FD">
        <w:t xml:space="preserve">], </w:t>
      </w:r>
      <w:r>
        <w:t>[</w:t>
      </w:r>
      <w:r w:rsidRPr="009C70FD">
        <w:rPr>
          <w:shd w:val="clear" w:color="auto" w:fill="CCCCCC"/>
        </w:rPr>
        <w:t>datum narození</w:t>
      </w:r>
      <w:r w:rsidRPr="009C70FD">
        <w:t xml:space="preserve">] kuchyňským nožem celkové délky 285 mm s délkou čepele 170 mm, čímž mu způsobil větší počet bodných ran na přední ploše hrudníku, řeznou ránu vlevo na boční ploše krku pronikající při střední čáře až ke chrupavkám hrtanu, bez známek jejich porušení, bez známek porušení velkých cévních a nervových svazků, nevelkou bodnou ránu vlevo na boční ploše krku pronikající do podkoží, celkem tři bodné rány vpravo na krku, kdy jedna pronikla hluboko do krčních struktur a v průběhu bodného kanálu došlo k poranění průdušnice, několik povrchních i hlubších řezných ran na bříšcích prstů levé ruky, čímž poškozenému </w:t>
      </w:r>
      <w:r>
        <w:t>[</w:t>
      </w:r>
      <w:r w:rsidRPr="009C70FD">
        <w:rPr>
          <w:shd w:val="clear" w:color="auto" w:fill="CCCCCC"/>
        </w:rPr>
        <w:t>jméno</w:t>
      </w:r>
      <w:r w:rsidRPr="009C70FD">
        <w:t xml:space="preserve">] </w:t>
      </w:r>
      <w:r>
        <w:t>[</w:t>
      </w:r>
      <w:r w:rsidRPr="009C70FD">
        <w:rPr>
          <w:shd w:val="clear" w:color="auto" w:fill="CCCCCC"/>
        </w:rPr>
        <w:t>příjmení</w:t>
      </w:r>
      <w:r w:rsidRPr="009C70FD">
        <w:t xml:space="preserve">] přivodil smrt; a bezprostředně poté, před vstupem do budovy pečovatelského domu, na nájezdové rampě přímo pod balkonem pokoje č. 403 tím samým nožem zaútočil na </w:t>
      </w:r>
      <w:r>
        <w:t>[</w:t>
      </w:r>
      <w:r w:rsidRPr="009C70FD">
        <w:rPr>
          <w:shd w:val="clear" w:color="auto" w:fill="CCCCCC"/>
        </w:rPr>
        <w:t>jméno</w:t>
      </w:r>
      <w:r w:rsidRPr="009C70FD">
        <w:t xml:space="preserve">] </w:t>
      </w:r>
      <w:r>
        <w:t>[</w:t>
      </w:r>
      <w:r w:rsidRPr="009C70FD">
        <w:rPr>
          <w:shd w:val="clear" w:color="auto" w:fill="CCCCCC"/>
        </w:rPr>
        <w:t>příjmení</w:t>
      </w:r>
      <w:r w:rsidRPr="009C70FD">
        <w:t xml:space="preserve">], </w:t>
      </w:r>
      <w:r>
        <w:t>[</w:t>
      </w:r>
      <w:r w:rsidRPr="009C70FD">
        <w:rPr>
          <w:shd w:val="clear" w:color="auto" w:fill="CCCCCC"/>
        </w:rPr>
        <w:t>datum narození</w:t>
      </w:r>
      <w:r w:rsidRPr="009C70FD">
        <w:t xml:space="preserve">], čímž jí způsobil dvě hluboké příčné rány částečně zasahující i boční plochu krku, jejichž hloubka sahala až k tělu 5. a 6. obratle, v průběhu těchto ran došlo k několikanásobnému – dvojnásobnému přetětí levé krkavice a hluboké krční žíly, vpravo pak téměř dvojnásobnému přerušení krkavice a krční žíly, přerušení průdušnice mezi štítnou a prsténčitou chrupavkou, k přerušení jícnu, dále několik nejméně pět povrchních řezných ran na pravé boční ploše krku a vpředu na krku, tři povrchové ranky na přední ploše pravého ramene, šest bodných ran na přední ploše hrudníku vpravo, z nich čtyři pronikly do pohrudniční dutiny a pravé plíce, což vedlo k zakrvácení do pravé pohrudniční dutiny, dvě bodná poranění způsobila jen zranění stěny hrudníku, čímž poškozené </w:t>
      </w:r>
      <w:r>
        <w:t>[</w:t>
      </w:r>
      <w:r w:rsidRPr="009C70FD">
        <w:rPr>
          <w:shd w:val="clear" w:color="auto" w:fill="CCCCCC"/>
        </w:rPr>
        <w:t>jméno</w:t>
      </w:r>
      <w:r w:rsidRPr="009C70FD">
        <w:t xml:space="preserve">] </w:t>
      </w:r>
      <w:r>
        <w:t>[</w:t>
      </w:r>
      <w:r w:rsidRPr="009C70FD">
        <w:rPr>
          <w:shd w:val="clear" w:color="auto" w:fill="CCCCCC"/>
        </w:rPr>
        <w:t>příjmení</w:t>
      </w:r>
      <w:r w:rsidRPr="009C70FD">
        <w:t>] přivodil smrt, neboť ve věci nejde o podezření ze zločinu a není na místě věc vyřídit jinak. Toto usnesení policejního orgánu nabylo právní moci dne 3. 9. 2019.</w:t>
      </w:r>
    </w:p>
    <w:p w:rsidR="009C70FD" w:rsidRDefault="009C70FD" w:rsidP="009C70FD">
      <w:r w:rsidRPr="009C70FD">
        <w:t>2. Na podkladě shora uvedeného návrhu krajský soud nařídil veřejné zasedání, při němž provedl dokazování v rozsahu nezbytném pro rozhodnutí a na základě tohoto dokazování dospěl k následujícím skutkovým a právním závěrům.</w:t>
      </w:r>
    </w:p>
    <w:p w:rsidR="009C70FD" w:rsidRDefault="009C70FD" w:rsidP="009C70FD">
      <w:r w:rsidRPr="009C70FD">
        <w:t>3. Předně zdejší soud konstatuje, že jako předběžnou otázku vyřešil, že skutek popsaný v návrhu státního zástupce se stal, vykazuje znaky zločinu, spáchal jej posuzovaný, avšak pro nepříčetnost není trestně odpovědný.</w:t>
      </w:r>
    </w:p>
    <w:p w:rsidR="009C70FD" w:rsidRDefault="009C70FD" w:rsidP="009C70FD">
      <w:r w:rsidRPr="009C70FD">
        <w:t xml:space="preserve">4. Závěr popsaný v předchozím odstavci soud učinil na základě byť strohého výslechu posuzovaného, úředních záznamů o podaném vysvětlení svědků </w:t>
      </w:r>
      <w:r>
        <w:t>[</w:t>
      </w:r>
      <w:r w:rsidRPr="009C70FD">
        <w:rPr>
          <w:shd w:val="clear" w:color="auto" w:fill="CCCCCC"/>
        </w:rPr>
        <w:t>jméno</w:t>
      </w:r>
      <w:r w:rsidRPr="009C70FD">
        <w:t xml:space="preserve">] </w:t>
      </w:r>
      <w:r>
        <w:t>[</w:t>
      </w:r>
      <w:r w:rsidRPr="009C70FD">
        <w:rPr>
          <w:shd w:val="clear" w:color="auto" w:fill="CCCCCC"/>
        </w:rPr>
        <w:t>příjmení</w:t>
      </w:r>
      <w:r w:rsidRPr="009C70FD">
        <w:t xml:space="preserve">], </w:t>
      </w:r>
      <w:r>
        <w:t>[</w:t>
      </w:r>
      <w:r w:rsidRPr="009C70FD">
        <w:rPr>
          <w:shd w:val="clear" w:color="auto" w:fill="CCCCCC"/>
        </w:rPr>
        <w:t>jméno</w:t>
      </w:r>
      <w:r w:rsidRPr="009C70FD">
        <w:t xml:space="preserve">] </w:t>
      </w:r>
      <w:r>
        <w:t>[</w:t>
      </w:r>
      <w:r w:rsidRPr="009C70FD">
        <w:rPr>
          <w:shd w:val="clear" w:color="auto" w:fill="CCCCCC"/>
        </w:rPr>
        <w:t>příjmení</w:t>
      </w:r>
      <w:r w:rsidRPr="009C70FD">
        <w:t xml:space="preserve">], </w:t>
      </w:r>
      <w:r>
        <w:t>[</w:t>
      </w:r>
      <w:r w:rsidRPr="009C70FD">
        <w:rPr>
          <w:shd w:val="clear" w:color="auto" w:fill="CCCCCC"/>
        </w:rPr>
        <w:t>jméno</w:t>
      </w:r>
      <w:r w:rsidRPr="009C70FD">
        <w:t xml:space="preserve">] </w:t>
      </w:r>
      <w:r>
        <w:t>[</w:t>
      </w:r>
      <w:r w:rsidRPr="009C70FD">
        <w:rPr>
          <w:shd w:val="clear" w:color="auto" w:fill="CCCCCC"/>
        </w:rPr>
        <w:t>příjmení</w:t>
      </w:r>
      <w:r w:rsidRPr="009C70FD">
        <w:t xml:space="preserve">] a </w:t>
      </w:r>
      <w:r>
        <w:t>[</w:t>
      </w:r>
      <w:r w:rsidRPr="009C70FD">
        <w:rPr>
          <w:shd w:val="clear" w:color="auto" w:fill="CCCCCC"/>
        </w:rPr>
        <w:t>jméno</w:t>
      </w:r>
      <w:r w:rsidRPr="009C70FD">
        <w:t xml:space="preserve">] </w:t>
      </w:r>
      <w:r>
        <w:t>[</w:t>
      </w:r>
      <w:r w:rsidRPr="009C70FD">
        <w:rPr>
          <w:shd w:val="clear" w:color="auto" w:fill="CCCCCC"/>
        </w:rPr>
        <w:t>příjmení</w:t>
      </w:r>
      <w:r w:rsidRPr="009C70FD">
        <w:t xml:space="preserve">], jakož i listinných důkazů. Posuzovaný ve své </w:t>
      </w:r>
      <w:r w:rsidRPr="009C70FD">
        <w:lastRenderedPageBreak/>
        <w:t>strohé výpovědi uvedl, z jakých důvodů navštívil v pečovatelském domě své prarodiče. Při sprchování slyšel mužské hlasy, které jej nabádaly k jednání, kterého se následně vůči svým prarodičům dopustil. Následně již odmítl vypovídat s tím, že je to pro něj příliš bolestivé. Shora jmenovaní svědci pak ve svých výpovědích popsali, za jakých okolností se dozvěděli o jednání posuzovaného, jak jej nalezli, v jakém stavu se nacházel, co jim říkal a následně jej odvezli do Fakultní nemocnice v Plzni na psychiatrickou kliniku, přičemž po cestě vyrozuměli Policii České republiky, která následně v areálu Fakultní nemocnice v Plzni posuzovaného zadržela. Z listinných důkazů pak byla prokázána situace na vlastním místě činu. Poranění, která posuzovaný poškozeným způsobil a která vedla k jejich smrti, byla prokázána ze znaleckých posudků z oboru zdravotnictví, odvětví soudního lékařství, které zpracovali znalci prim. MUDr. Hynek Řehulka a doc. MUDr. Helena Kvapilová.</w:t>
      </w:r>
    </w:p>
    <w:p w:rsidR="009C70FD" w:rsidRDefault="009C70FD" w:rsidP="009C70FD">
      <w:r w:rsidRPr="009C70FD">
        <w:t>5. K osobě posuzovaného byl zpracován znalecký posudek z oboru zdravotnictví, odvětví psychiatrie a psychologie, přičemž psychiatrickou část zpracovala znalkyně MUDr. et Mgr. Eva Navrátilová a psychologickou část zpracovala Mgr. Hana Ortmannová. Obě jmenované znalkyně byly osobně vyslechnuty při veřejném zasedání. Zcela setrvaly na svých znaleckých závěrech, které popsaly ve společném znaleckém posudku. Bylo tak zjištěno, že v době, kdy se posuzovaný dopustil jednání popsaného v návrhu státního zástupce, trpěl závažnou duševní chorobou v pravém slova smyslu, a to paranoidní schizofrenií. V době, kdy mělo dojít ke spáchání trestného činu, nebyl posuzovaný schopen rozpoznat společenskou nebezpečnost svého jednání a nebyl schopen své jednání ovládat. V důsledku akutní ataky paranoidní schizofrenie došlo u posuzovaného k plnému vymizení jak rozpoznávacích, tak ovládacích schopností. Jeho jednání bylo vyvoláno poruchami vnímání a myšlení, které byly podmíněny akutní fází psychotického onemocnění. Nejednalo se tedy o zkratové jednání, ale o jednání pod vlivem duševního onemocnění. Posuzovaný čin spáchal pod vlivem narušeného myšlení a vnímání, motivace byla zcela zásadně ovlivněna akutním psychotickým prožíváním, nelze ji nijak spojovat s osobními charakteristikami posuzovaného. Jelikož se posuzovaný v době činu nacházel ve stavu akutní psychotické ataky, nebyl schopen rozlišit realitu od svých představ, nebyl schopen se ovládat, jeho rozpoznávací i ovládací schopnosti byly zcela vymizelé. Vyšetřovaný trestný čin byl jednoznačně důsledkem duševní nemoci. Vzhledem k povaze onemocnění a spáchaného činu znalkyně hodnotí pobyt posuzovaného na svobodě jako vysoce nebezpečný a s přihlédnutím ke všem skutečnostem navrhují uložení zabezpečovací detence.</w:t>
      </w:r>
    </w:p>
    <w:p w:rsidR="009C70FD" w:rsidRDefault="009C70FD" w:rsidP="009C70FD">
      <w:r w:rsidRPr="009C70FD">
        <w:t>6. Znalkyně při veřejném zasedání uvedly, že u posuzovaného nedošlo do současné doby k plné úzdravě. Posuzovaný je sice léčen podávanými psychofarmaky a depotními injekcemi, nicméně k úzdravě skutečně nedošlo. V současné době hodnotí duševní onemocnění posuzovaného jako již nikoliv akutní paranoidní schizofrenii, ale jako paranoidní schizofrenii reziduální. Jedná se onemocnění velice nevyzpytatelné, u posuzovaného přešlo do chronického stádia a proto již úzdrava vlastně není možná. I když je posuzovaný zaléčen, příznaky nemoci stále existují, nemá sice aktuálně tzv. pozitivní příznaky (např. halucinace nebo bludné přesvědčení). V současné době je u posuzovaného přítomná tzv. negativní symptomatika, která však bohužel nereaguje na léky, proto ji nelze zkorigovat. Léky totiž fungují pouze na pozitivní příznaky, takže vymizí halucinace, vymizí bludné vnímání, ale emoční vychudlost, ztráta zájmu, ztráta vůle k činnosti, totální rozpad osobnosti, což jsou právě ta negativní symptomatika, přetrvávají. Onemocnění posuzovaného je nevyzpytatelné a v této fázi už je dokonce nevyléčitelné.</w:t>
      </w:r>
    </w:p>
    <w:p w:rsidR="009C70FD" w:rsidRDefault="009C70FD" w:rsidP="009C70FD">
      <w:r w:rsidRPr="009C70FD">
        <w:t>7. Znalkyně při svém výslechu rovněž i setrvaly na svém návrhu na uložení zabezpečovací detence. Uvedly, že u paranoidní schizofrenie zejména v té fázi, kterou trpí posuzovaný, není pouhý zdravotnický personál schopen případnou ataku zvládnout. Je proto třeba, aby byl posuzovaný pod dohledem speciálně školených pracovníků vězeňské služby, kteří jsou na případy vzplanutí duševního onemocnění posuzovaného schopni adekvátně a účinně reagovat. Znalkyně současně upozornily, že u posuzovaného došlo k první atace jeho onemocnění a při této první manifestaci nemoci se dopustil jednání, které vedlo ke smrti dvou jeho nejbližších osob.</w:t>
      </w:r>
    </w:p>
    <w:p w:rsidR="009C70FD" w:rsidRDefault="009C70FD" w:rsidP="009C70FD">
      <w:r w:rsidRPr="009C70FD">
        <w:lastRenderedPageBreak/>
        <w:t xml:space="preserve">8. Krajský soud na základě shora uvedených důkazů dospěl k závěru, že skutek, jehož se posuzovaný dopustil, by vykazoval znaky zločinu vraždy podle § 140 odst. 1, 3 písmene a) trestního zákoníku, neboť posuzovaný úmyslným jednáním v úmyslu usmrtit, usmrtil dvě osoby, a to své prarodiče </w:t>
      </w:r>
      <w:r>
        <w:t>[</w:t>
      </w:r>
      <w:r w:rsidRPr="009C70FD">
        <w:rPr>
          <w:shd w:val="clear" w:color="auto" w:fill="CCCCCC"/>
        </w:rPr>
        <w:t>jméno</w:t>
      </w:r>
      <w:r w:rsidRPr="009C70FD">
        <w:t xml:space="preserve">] a </w:t>
      </w:r>
      <w:r>
        <w:t>[</w:t>
      </w:r>
      <w:r w:rsidRPr="009C70FD">
        <w:rPr>
          <w:shd w:val="clear" w:color="auto" w:fill="CCCCCC"/>
        </w:rPr>
        <w:t>jméno</w:t>
      </w:r>
      <w:r w:rsidRPr="009C70FD">
        <w:t xml:space="preserve">] </w:t>
      </w:r>
      <w:r>
        <w:t>[</w:t>
      </w:r>
      <w:r w:rsidRPr="009C70FD">
        <w:rPr>
          <w:shd w:val="clear" w:color="auto" w:fill="CCCCCC"/>
        </w:rPr>
        <w:t>příjmení</w:t>
      </w:r>
      <w:r w:rsidRPr="009C70FD">
        <w:t>]. Posuzovaný současně pro nepříčetnost není trestně odpovědný.</w:t>
      </w:r>
    </w:p>
    <w:p w:rsidR="009C70FD" w:rsidRDefault="009C70FD" w:rsidP="009C70FD">
      <w:r w:rsidRPr="009C70FD">
        <w:t>9. Podle § 100 odst. 1 trestního zákoníku soud uloží zabezpečovací detenci v případě uvedeném v § 47 odst. 2, nebo jestliže pachatel činu jinak trestného, který by naplňoval znaky zločinu, není pro nepříčetnost trestně odpovědný, jeho pobyt na svobodě je nebezpečný a nelze očekávat, že by uložené ochranné léčení s přihlédnutím k povaze duševní poruchy a možnostem působení na pachatele vedlo k dostatečné ochraně společnosti.</w:t>
      </w:r>
    </w:p>
    <w:p w:rsidR="009C70FD" w:rsidRDefault="009C70FD" w:rsidP="009C70FD">
      <w:r w:rsidRPr="009C70FD">
        <w:t>10. Z právě uvedeného citovaného ustanovení trestního zákoníku je zřejmé, že zabezpečovací detenci lze uložit při současném splnění čtyř zákonných podmínek. Tři již shora soud vysvětlil, a to že posuzovaný se dopustil činu jinak trestného, který by naplňoval znaky zločinu vraždy podle § 140 odst. 1, 3 písmeno a) trestního zákoníku, není pro nepříčetnost trestně odpovědný a jeho pobyt na svobodě je nebezpečný. Zbývá tedy vyřešit otázku, zda je splněna i čtvrtá zákonná podmínka spočívající v tom, zda nelze očekávat, že by uložené ochranné léčení s přihlédnutím k povaze duševní poruchy a možnostem působení na posuzovaného vedlo k dostatečné ochraně společnosti.</w:t>
      </w:r>
    </w:p>
    <w:p w:rsidR="009C70FD" w:rsidRDefault="009C70FD" w:rsidP="009C70FD">
      <w:r w:rsidRPr="009C70FD">
        <w:t>11. I tuto čtvrtou zákonnou podmínku § 100 odst. 1 trestního zákoníku shledal zdejší soud splněnou. Jak vyplynulo z provedeného dokazování a zejména ze znaleckých závěrů MUDr. Navrátilové a Mgr. Ortmannové, nelze skutečně očekávat, že by uložené ústavní ochranné léčení vedlo k dostatečné ochraně společnosti. Je nutno zdůraznit, že první ataka duševního onemocnění posuzovaného vedla ke spáchání jednání, které by naplňovalo znaky nejzávažnějšího trestného činu, pokud by posuzovaný byl trestně odpovědný. Pokud při prvním vzplanutí duševního onemocnění posuzovaného došlo k tak mimořádnému následku jakým je smrt dvou osob, nelze očekávat v podstatě nic jiného, než že by se v případě opětovného vzplanutí nemoci jednání posuzovaného mohlo opakovat. Pokud znalkyně zdůraznily, že zdravotnický personál by nebyl schopen případné vzplanutí nemoci posuzovaného zvládnout, mohlo by dojít reálně v ústavním ochranném léčení k ohrožení nejen těchto zdravotních pracovníků, ale i dalších léčených osob. V ústavním ochranném léčení není zajištěna dostatečná ochrana společnosti, proto jsou splněny všechny zákonné podmínky pro uložení zabezpečovací detence.</w:t>
      </w:r>
    </w:p>
    <w:p w:rsidR="00F11093" w:rsidRPr="009C70FD" w:rsidRDefault="009C70FD" w:rsidP="00A4390D">
      <w:r w:rsidRPr="009C70FD">
        <w:t>12. Jen pro úplnost zdejší soud uvádí, že ve smyslu § 100 odst. 5 trestního zákoníku se nejedná o rozhodnutí, které by posuzovaného na svobodě omezovalo doživotně. Uvedené ustanovení trestního zákoníku totiž říká, že zebezpečovací detence trvá, dokud to vyžaduje ochrana společnosti, přičemž soud nejméně jednou za dvanáct měsíců přezkoumává, zda důvody pro její další pokračování ještě trvají.</w:t>
      </w:r>
    </w:p>
    <w:p w:rsidR="008A0B5D" w:rsidRDefault="008A0B5D" w:rsidP="008A0B5D">
      <w:pPr>
        <w:pStyle w:val="Nadpisstirozsudku"/>
      </w:pPr>
      <w:r>
        <w:t>Poučení:</w:t>
      </w:r>
    </w:p>
    <w:p w:rsidR="006B14EC" w:rsidRPr="009C70FD" w:rsidRDefault="009C70FD" w:rsidP="009C70FD">
      <w:pPr>
        <w:jc w:val="left"/>
      </w:pPr>
      <w:r w:rsidRPr="009C70FD">
        <w:t>Proti tomuto usnesení je přípustná stížnost do tří dnů od jeho oznámení k Vrchnímu soudu ČR v Praze prostřednictvím soudu podepsaného.</w:t>
      </w:r>
    </w:p>
    <w:p w:rsidR="006B14EC" w:rsidRPr="001F0625" w:rsidRDefault="009C70FD" w:rsidP="006B14EC">
      <w:pPr>
        <w:keepNext/>
        <w:spacing w:before="960"/>
        <w:rPr>
          <w:szCs w:val="22"/>
        </w:rPr>
      </w:pPr>
      <w:r>
        <w:rPr>
          <w:szCs w:val="22"/>
        </w:rPr>
        <w:t>Plzeň</w:t>
      </w:r>
      <w:r w:rsidR="006B14EC" w:rsidRPr="001F0625">
        <w:rPr>
          <w:szCs w:val="22"/>
        </w:rPr>
        <w:t xml:space="preserve"> </w:t>
      </w:r>
      <w:r>
        <w:t>19. listopadu 2019</w:t>
      </w:r>
    </w:p>
    <w:p w:rsidR="006B69A5" w:rsidRDefault="009C70FD" w:rsidP="00845CC2">
      <w:pPr>
        <w:keepNext/>
        <w:spacing w:before="480"/>
        <w:jc w:val="left"/>
      </w:pPr>
      <w:r>
        <w:t>Mgr. Jan Hostaš</w:t>
      </w:r>
      <w:r w:rsidR="00A4390D">
        <w:t xml:space="preserve"> v. r.</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239" w:rsidRDefault="00DA7239" w:rsidP="00B83118">
      <w:pPr>
        <w:spacing w:after="0"/>
      </w:pPr>
      <w:r>
        <w:separator/>
      </w:r>
    </w:p>
  </w:endnote>
  <w:endnote w:type="continuationSeparator" w:id="0">
    <w:p w:rsidR="00DA7239" w:rsidRDefault="00DA7239"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0FD" w:rsidRDefault="009C70F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0FD" w:rsidRDefault="009C70FD">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0FD" w:rsidRDefault="009C70F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239" w:rsidRDefault="00DA7239" w:rsidP="00B83118">
      <w:pPr>
        <w:spacing w:after="0"/>
      </w:pPr>
      <w:r>
        <w:separator/>
      </w:r>
    </w:p>
  </w:footnote>
  <w:footnote w:type="continuationSeparator" w:id="0">
    <w:p w:rsidR="00DA7239" w:rsidRDefault="00DA7239"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0FD" w:rsidRDefault="009C70F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6B025F">
      <w:rPr>
        <w:noProof/>
      </w:rPr>
      <w:t>2</w:t>
    </w:r>
    <w:r>
      <w:fldChar w:fldCharType="end"/>
    </w:r>
    <w:r>
      <w:tab/>
    </w:r>
    <w:r w:rsidR="009C70FD">
      <w:t>1 Nt 204/2019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9C70FD">
      <w:t>1 Nt 204/2019 - 407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307F8"/>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93D12"/>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D095F"/>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025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9C70FD"/>
    <w:rsid w:val="00A26B11"/>
    <w:rsid w:val="00A26CB2"/>
    <w:rsid w:val="00A4390D"/>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A7239"/>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20D0"/>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D5C0F5-6000-47ED-A2CC-733088281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1623</Words>
  <Characters>9578</Characters>
  <Application>Microsoft Office Word</Application>
  <DocSecurity>0</DocSecurity>
  <Lines>79</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2022-11-01T07:16:00Z</dcterms:created>
  <dcterms:modified xsi:type="dcterms:W3CDTF">2022-11-01T07:16:00Z</dcterms:modified>
</cp:coreProperties>
</file>